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342FF34" w:rsidR="000152DA" w:rsidRPr="000D25C9" w:rsidRDefault="00CA1354" w:rsidP="002C3ABC">
          <w:pPr>
            <w:pStyle w:val="A1"/>
          </w:pPr>
          <w:r w:rsidRPr="00CA1354">
            <w:t xml:space="preserve">Política de </w:t>
          </w:r>
          <w:r w:rsidR="001C20D7">
            <w:t>S</w:t>
          </w:r>
          <w:r w:rsidRPr="00CA1354">
            <w:t xml:space="preserve">egurança de </w:t>
          </w:r>
          <w:r w:rsidR="001C20D7">
            <w:t>R</w:t>
          </w:r>
          <w:r w:rsidRPr="00CA1354">
            <w:t xml:space="preserve">oteador e </w:t>
          </w:r>
          <w:r w:rsidR="001C20D7">
            <w:t>S</w:t>
          </w:r>
          <w:r w:rsidRPr="00CA1354">
            <w:t>witch</w:t>
          </w: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0D206714" w14:textId="2F1F1E1E" w:rsidR="004A6AFF" w:rsidRDefault="004A6AFF"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D839DE2" w14:textId="77777777" w:rsidR="001C20D7" w:rsidRPr="001C20D7" w:rsidRDefault="001C20D7" w:rsidP="001C20D7">
                                <w:pPr>
                                  <w:pStyle w:val="Arizen27"/>
                                </w:pPr>
                                <w:r w:rsidRPr="001C20D7">
                                  <w:t>Política de Segurança de Roteador e Switch</w:t>
                                </w:r>
                              </w:p>
                              <w:p w14:paraId="3E3A6377" w14:textId="52ECB25E" w:rsidR="000152DA" w:rsidRDefault="000152DA" w:rsidP="001C20D7">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5D839DE2" w14:textId="77777777" w:rsidR="001C20D7" w:rsidRPr="001C20D7" w:rsidRDefault="001C20D7" w:rsidP="001C20D7">
                          <w:pPr>
                            <w:pStyle w:val="Arizen27"/>
                          </w:pPr>
                          <w:r w:rsidRPr="001C20D7">
                            <w:t>Política de Segurança de Roteador e Switch</w:t>
                          </w:r>
                        </w:p>
                        <w:p w14:paraId="3E3A6377" w14:textId="52ECB25E" w:rsidR="000152DA" w:rsidRDefault="000152DA" w:rsidP="001C20D7">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01D5D28" w14:textId="243983EF" w:rsidR="00B53D6E" w:rsidRDefault="00B53D6E" w:rsidP="000152DA">
                                <w:pPr>
                                  <w:pStyle w:val="Arizen26"/>
                                </w:pPr>
                              </w:p>
                              <w:p w14:paraId="4EDFA00A" w14:textId="0FCB0899" w:rsidR="00B53D6E" w:rsidRDefault="00523145" w:rsidP="000152DA">
                                <w:pPr>
                                  <w:pStyle w:val="Arizen26"/>
                                </w:pPr>
                                <w:r>
                                  <w:rPr>
                                    <w:bCs/>
                                  </w:rPr>
                                  <w:t xml:space="preserve">o objetivo deste documento é regulamentar a segurança e o acesso à roteadores e </w:t>
                                </w:r>
                                <w:proofErr w:type="spellStart"/>
                                <w:r>
                                  <w:rPr>
                                    <w:bCs/>
                                  </w:rPr>
                                  <w:t>switchs</w:t>
                                </w:r>
                                <w:proofErr w:type="spellEnd"/>
                                <w:r>
                                  <w:rPr>
                                    <w:bCs/>
                                  </w:rPr>
                                  <w:t xml:space="preserve"> da organização, evitando assim as violações de segurança da informação.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40B9172" w:rsidR="000152DA" w:rsidRDefault="000152DA" w:rsidP="000152DA">
                                <w:pPr>
                                  <w:pStyle w:val="Arizen26"/>
                                </w:pPr>
                              </w:p>
                              <w:p w14:paraId="3F2D984E" w14:textId="173EE80E" w:rsidR="00523145" w:rsidRDefault="00523145" w:rsidP="00523145">
                                <w:pPr>
                                  <w:pStyle w:val="Arizen26"/>
                                </w:pPr>
                                <w:bookmarkStart w:id="1" w:name="_Hlk97649446"/>
                                <w:r>
                                  <w:t xml:space="preserve">Utilize esta política de acordo com as necessidades da organização, para promover uma maior segurança aos roteadores e </w:t>
                                </w:r>
                                <w:proofErr w:type="spellStart"/>
                                <w:r>
                                  <w:t>switchs</w:t>
                                </w:r>
                                <w:proofErr w:type="spellEnd"/>
                                <w:r>
                                  <w:t>.</w:t>
                                </w:r>
                              </w:p>
                              <w:p w14:paraId="5338B3CA" w14:textId="77777777" w:rsidR="00523145" w:rsidRDefault="00523145" w:rsidP="00523145">
                                <w:pPr>
                                  <w:pStyle w:val="Arizen26"/>
                                </w:pPr>
                              </w:p>
                              <w:p w14:paraId="415622DA" w14:textId="77777777" w:rsidR="00523145" w:rsidRDefault="00523145" w:rsidP="00523145">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2DAE7C2" w:rsidR="000152DA" w:rsidRDefault="000152DA" w:rsidP="000152DA">
                                <w:pPr>
                                  <w:pStyle w:val="Arizen26"/>
                                </w:pPr>
                              </w:p>
                              <w:p w14:paraId="34C91B7B" w14:textId="77777777" w:rsidR="00523145" w:rsidRPr="00F7088D" w:rsidRDefault="00523145" w:rsidP="00523145">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32F9D0B9" w14:textId="77777777" w:rsidR="00523145" w:rsidRDefault="00523145"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01D5D28" w14:textId="243983EF" w:rsidR="00B53D6E" w:rsidRDefault="00B53D6E" w:rsidP="000152DA">
                          <w:pPr>
                            <w:pStyle w:val="Arizen26"/>
                          </w:pPr>
                        </w:p>
                        <w:p w14:paraId="4EDFA00A" w14:textId="0FCB0899" w:rsidR="00B53D6E" w:rsidRDefault="00523145" w:rsidP="000152DA">
                          <w:pPr>
                            <w:pStyle w:val="Arizen26"/>
                          </w:pPr>
                          <w:r>
                            <w:rPr>
                              <w:bCs/>
                            </w:rPr>
                            <w:t xml:space="preserve">o objetivo deste documento é regulamentar a segurança e o acesso à roteadores e </w:t>
                          </w:r>
                          <w:proofErr w:type="spellStart"/>
                          <w:r>
                            <w:rPr>
                              <w:bCs/>
                            </w:rPr>
                            <w:t>switchs</w:t>
                          </w:r>
                          <w:proofErr w:type="spellEnd"/>
                          <w:r>
                            <w:rPr>
                              <w:bCs/>
                            </w:rPr>
                            <w:t xml:space="preserve"> da organização, evitando assim as violações de segurança da informação.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A41CAC9" w14:textId="740B9172" w:rsidR="000152DA" w:rsidRDefault="000152DA" w:rsidP="000152DA">
                          <w:pPr>
                            <w:pStyle w:val="Arizen26"/>
                          </w:pPr>
                        </w:p>
                        <w:p w14:paraId="3F2D984E" w14:textId="173EE80E" w:rsidR="00523145" w:rsidRDefault="00523145" w:rsidP="00523145">
                          <w:pPr>
                            <w:pStyle w:val="Arizen26"/>
                          </w:pPr>
                          <w:bookmarkStart w:id="4" w:name="_Hlk97649446"/>
                          <w:r>
                            <w:t>Utilize esta política de acordo com as necessidades da organização, para promover uma maior segurança a</w:t>
                          </w:r>
                          <w:r>
                            <w:t xml:space="preserve">os roteadores e </w:t>
                          </w:r>
                          <w:proofErr w:type="spellStart"/>
                          <w:r>
                            <w:t>switchs</w:t>
                          </w:r>
                          <w:proofErr w:type="spellEnd"/>
                          <w:r>
                            <w:t>.</w:t>
                          </w:r>
                        </w:p>
                        <w:p w14:paraId="5338B3CA" w14:textId="77777777" w:rsidR="00523145" w:rsidRDefault="00523145" w:rsidP="00523145">
                          <w:pPr>
                            <w:pStyle w:val="Arizen26"/>
                          </w:pPr>
                        </w:p>
                        <w:p w14:paraId="415622DA" w14:textId="77777777" w:rsidR="00523145" w:rsidRDefault="00523145" w:rsidP="00523145">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2DAE7C2" w:rsidR="000152DA" w:rsidRDefault="000152DA" w:rsidP="000152DA">
                          <w:pPr>
                            <w:pStyle w:val="Arizen26"/>
                          </w:pPr>
                        </w:p>
                        <w:p w14:paraId="34C91B7B" w14:textId="77777777" w:rsidR="00523145" w:rsidRPr="00F7088D" w:rsidRDefault="00523145" w:rsidP="00523145">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32F9D0B9" w14:textId="77777777" w:rsidR="00523145" w:rsidRDefault="00523145"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DC7B3E"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DC7B3E"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035F89B0" w14:textId="77777777" w:rsidR="001C20D7" w:rsidRPr="001C20D7" w:rsidRDefault="000152DA" w:rsidP="001C20D7">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1C20D7" w:rsidRPr="001C20D7">
        <w:t>Política de Segurança de Roteador e Switch</w:t>
      </w:r>
    </w:p>
    <w:p w14:paraId="780117CE" w14:textId="0331E920" w:rsidR="000152DA" w:rsidRDefault="000152DA" w:rsidP="00B53D6E">
      <w:pPr>
        <w:pStyle w:val="A1"/>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39C5F95" w:rsidR="000152DA" w:rsidRPr="000D25C9" w:rsidRDefault="00EF5B72" w:rsidP="00F0523E">
            <w:pPr>
              <w:pStyle w:val="AA2"/>
              <w:framePr w:hSpace="0" w:wrap="auto" w:vAnchor="margin" w:hAnchor="text" w:xAlign="left" w:yAlign="inline"/>
              <w:rPr>
                <w:color w:val="FFFFFF"/>
                <w:highlight w:val="yellow"/>
              </w:rPr>
            </w:pPr>
            <w:r w:rsidRPr="00EF5B72">
              <w:t>10-AN-DOC-LGPD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64073204" w14:textId="5940EE87" w:rsidR="00523145"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32913" w:history="1">
        <w:r w:rsidR="00523145" w:rsidRPr="0078716C">
          <w:rPr>
            <w:rStyle w:val="Hyperlink"/>
            <w:noProof/>
            <w:lang w:eastAsia="en-GB"/>
          </w:rPr>
          <w:t>1</w:t>
        </w:r>
        <w:r w:rsidR="00523145">
          <w:rPr>
            <w:rFonts w:asciiTheme="minorHAnsi" w:eastAsiaTheme="minorEastAsia" w:hAnsiTheme="minorHAnsi" w:cstheme="minorBidi"/>
            <w:b w:val="0"/>
            <w:bCs w:val="0"/>
            <w:caps w:val="0"/>
            <w:noProof/>
            <w:sz w:val="22"/>
            <w:szCs w:val="22"/>
            <w:lang w:eastAsia="pt-BR"/>
          </w:rPr>
          <w:tab/>
        </w:r>
        <w:r w:rsidR="00523145" w:rsidRPr="0078716C">
          <w:rPr>
            <w:rStyle w:val="Hyperlink"/>
            <w:noProof/>
            <w:lang w:eastAsia="en-GB"/>
          </w:rPr>
          <w:t>Introdução</w:t>
        </w:r>
        <w:r w:rsidR="00523145">
          <w:rPr>
            <w:noProof/>
            <w:webHidden/>
          </w:rPr>
          <w:tab/>
        </w:r>
        <w:r w:rsidR="00523145">
          <w:rPr>
            <w:noProof/>
            <w:webHidden/>
          </w:rPr>
          <w:fldChar w:fldCharType="begin"/>
        </w:r>
        <w:r w:rsidR="00523145">
          <w:rPr>
            <w:noProof/>
            <w:webHidden/>
          </w:rPr>
          <w:instrText xml:space="preserve"> PAGEREF _Toc97732913 \h </w:instrText>
        </w:r>
        <w:r w:rsidR="00523145">
          <w:rPr>
            <w:noProof/>
            <w:webHidden/>
          </w:rPr>
        </w:r>
        <w:r w:rsidR="00523145">
          <w:rPr>
            <w:noProof/>
            <w:webHidden/>
          </w:rPr>
          <w:fldChar w:fldCharType="separate"/>
        </w:r>
        <w:r w:rsidR="00523145">
          <w:rPr>
            <w:noProof/>
            <w:webHidden/>
          </w:rPr>
          <w:t>6</w:t>
        </w:r>
        <w:r w:rsidR="00523145">
          <w:rPr>
            <w:noProof/>
            <w:webHidden/>
          </w:rPr>
          <w:fldChar w:fldCharType="end"/>
        </w:r>
      </w:hyperlink>
    </w:p>
    <w:p w14:paraId="0316B280" w14:textId="5614A8E9" w:rsidR="00523145" w:rsidRDefault="00DC7B3E">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32914" w:history="1">
        <w:r w:rsidR="00523145" w:rsidRPr="0078716C">
          <w:rPr>
            <w:rStyle w:val="Hyperlink"/>
            <w:noProof/>
          </w:rPr>
          <w:t>2</w:t>
        </w:r>
        <w:r w:rsidR="00523145">
          <w:rPr>
            <w:rFonts w:asciiTheme="minorHAnsi" w:eastAsiaTheme="minorEastAsia" w:hAnsiTheme="minorHAnsi" w:cstheme="minorBidi"/>
            <w:b w:val="0"/>
            <w:bCs w:val="0"/>
            <w:caps w:val="0"/>
            <w:noProof/>
            <w:sz w:val="22"/>
            <w:szCs w:val="22"/>
            <w:lang w:eastAsia="pt-BR"/>
          </w:rPr>
          <w:tab/>
        </w:r>
        <w:r w:rsidR="00523145" w:rsidRPr="0078716C">
          <w:rPr>
            <w:rStyle w:val="Hyperlink"/>
            <w:noProof/>
          </w:rPr>
          <w:t>Política de Segurança de Roteador e Switch</w:t>
        </w:r>
        <w:r w:rsidR="00523145">
          <w:rPr>
            <w:noProof/>
            <w:webHidden/>
          </w:rPr>
          <w:tab/>
        </w:r>
        <w:r w:rsidR="00523145">
          <w:rPr>
            <w:noProof/>
            <w:webHidden/>
          </w:rPr>
          <w:fldChar w:fldCharType="begin"/>
        </w:r>
        <w:r w:rsidR="00523145">
          <w:rPr>
            <w:noProof/>
            <w:webHidden/>
          </w:rPr>
          <w:instrText xml:space="preserve"> PAGEREF _Toc97732914 \h </w:instrText>
        </w:r>
        <w:r w:rsidR="00523145">
          <w:rPr>
            <w:noProof/>
            <w:webHidden/>
          </w:rPr>
        </w:r>
        <w:r w:rsidR="00523145">
          <w:rPr>
            <w:noProof/>
            <w:webHidden/>
          </w:rPr>
          <w:fldChar w:fldCharType="separate"/>
        </w:r>
        <w:r w:rsidR="00523145">
          <w:rPr>
            <w:noProof/>
            <w:webHidden/>
          </w:rPr>
          <w:t>6</w:t>
        </w:r>
        <w:r w:rsidR="00523145">
          <w:rPr>
            <w:noProof/>
            <w:webHidden/>
          </w:rPr>
          <w:fldChar w:fldCharType="end"/>
        </w:r>
      </w:hyperlink>
    </w:p>
    <w:p w14:paraId="66E0AFDF" w14:textId="18CA9352"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61FDA57D" w14:textId="7E04B41F" w:rsidR="00B53D6E" w:rsidRDefault="000152DA" w:rsidP="00275274">
      <w:pPr>
        <w:pStyle w:val="Ttulo1"/>
        <w:spacing w:line="276" w:lineRule="auto"/>
      </w:pPr>
      <w:r w:rsidRPr="00E63FF7">
        <w:br w:type="page"/>
      </w:r>
    </w:p>
    <w:p w14:paraId="25FF702D" w14:textId="537F2605" w:rsidR="00CA1354" w:rsidRDefault="00CA1354" w:rsidP="00EE5C69">
      <w:pPr>
        <w:spacing w:line="276" w:lineRule="auto"/>
        <w:jc w:val="both"/>
        <w:rPr>
          <w:lang w:eastAsia="en-GB"/>
        </w:rPr>
      </w:pPr>
    </w:p>
    <w:p w14:paraId="4FE26615" w14:textId="3B730C6B" w:rsidR="00CA1354" w:rsidRDefault="00CA1354" w:rsidP="00EE5C69">
      <w:pPr>
        <w:spacing w:line="276" w:lineRule="auto"/>
        <w:jc w:val="both"/>
        <w:rPr>
          <w:lang w:eastAsia="en-GB"/>
        </w:rPr>
      </w:pPr>
    </w:p>
    <w:p w14:paraId="64E883E8" w14:textId="173EC062" w:rsidR="00CA1354" w:rsidRPr="005D0E88" w:rsidRDefault="00CA1354" w:rsidP="005D0E88">
      <w:pPr>
        <w:pStyle w:val="Ttulo1"/>
        <w:numPr>
          <w:ilvl w:val="0"/>
          <w:numId w:val="21"/>
        </w:numPr>
        <w:jc w:val="both"/>
        <w:rPr>
          <w:lang w:eastAsia="en-GB"/>
        </w:rPr>
      </w:pPr>
      <w:r w:rsidRPr="005D0E88">
        <w:rPr>
          <w:lang w:eastAsia="en-GB"/>
        </w:rPr>
        <w:tab/>
      </w:r>
      <w:bookmarkStart w:id="4" w:name="_Toc97732913"/>
      <w:r w:rsidR="001C20D7">
        <w:rPr>
          <w:lang w:eastAsia="en-GB"/>
        </w:rPr>
        <w:t>Introdução</w:t>
      </w:r>
      <w:bookmarkEnd w:id="4"/>
      <w:r w:rsidR="001C20D7">
        <w:rPr>
          <w:lang w:eastAsia="en-GB"/>
        </w:rPr>
        <w:t xml:space="preserve"> </w:t>
      </w:r>
    </w:p>
    <w:p w14:paraId="5DE96776" w14:textId="77777777" w:rsidR="00CA1354" w:rsidRPr="005D0E88" w:rsidRDefault="00CA1354" w:rsidP="005D0E88">
      <w:pPr>
        <w:spacing w:line="276" w:lineRule="auto"/>
        <w:jc w:val="both"/>
        <w:rPr>
          <w:lang w:eastAsia="en-GB"/>
        </w:rPr>
      </w:pPr>
    </w:p>
    <w:p w14:paraId="38FF835F" w14:textId="77777777" w:rsidR="001C20D7" w:rsidRDefault="00CA1354" w:rsidP="005D0E88">
      <w:pPr>
        <w:spacing w:line="276" w:lineRule="auto"/>
        <w:jc w:val="both"/>
        <w:rPr>
          <w:lang w:eastAsia="en-GB"/>
        </w:rPr>
      </w:pPr>
      <w:r w:rsidRPr="005D0E88">
        <w:rPr>
          <w:lang w:eastAsia="en-GB"/>
        </w:rPr>
        <w:t xml:space="preserve">Todos os funcionários, contratados, consultores, temporários e outros trabalhadores da </w:t>
      </w:r>
      <w:r w:rsidR="001C20D7">
        <w:rPr>
          <w:lang w:eastAsia="en-GB"/>
        </w:rPr>
        <w:t>[</w:t>
      </w:r>
      <w:r w:rsidRPr="005D0E88">
        <w:rPr>
          <w:lang w:eastAsia="en-GB"/>
        </w:rPr>
        <w:t>Nome da Empresa</w:t>
      </w:r>
      <w:r w:rsidR="001C20D7">
        <w:rPr>
          <w:lang w:eastAsia="en-GB"/>
        </w:rPr>
        <w:t>]</w:t>
      </w:r>
      <w:r w:rsidRPr="005D0E88">
        <w:rPr>
          <w:lang w:eastAsia="en-GB"/>
        </w:rPr>
        <w:t xml:space="preserve"> e suas subsidiárias devem aderir a esta política. </w:t>
      </w:r>
    </w:p>
    <w:p w14:paraId="1A92C6FB" w14:textId="77777777" w:rsidR="001C20D7" w:rsidRDefault="001C20D7" w:rsidP="005D0E88">
      <w:pPr>
        <w:spacing w:line="276" w:lineRule="auto"/>
        <w:jc w:val="both"/>
        <w:rPr>
          <w:lang w:eastAsia="en-GB"/>
        </w:rPr>
      </w:pPr>
    </w:p>
    <w:p w14:paraId="4F654918" w14:textId="3A717EA8" w:rsidR="00CA1354" w:rsidRDefault="001C20D7" w:rsidP="005D0E88">
      <w:pPr>
        <w:spacing w:line="276" w:lineRule="auto"/>
        <w:jc w:val="both"/>
        <w:rPr>
          <w:lang w:eastAsia="en-GB"/>
        </w:rPr>
      </w:pPr>
      <w:r>
        <w:rPr>
          <w:lang w:eastAsia="en-GB"/>
        </w:rPr>
        <w:t>Os</w:t>
      </w:r>
      <w:r w:rsidR="00CA1354" w:rsidRPr="005D0E88">
        <w:rPr>
          <w:lang w:eastAsia="en-GB"/>
        </w:rPr>
        <w:t xml:space="preserve"> roteadores e switches conectados às redes de produção </w:t>
      </w:r>
      <w:r>
        <w:rPr>
          <w:lang w:eastAsia="en-GB"/>
        </w:rPr>
        <w:t>[</w:t>
      </w:r>
      <w:r w:rsidRPr="005D0E88">
        <w:rPr>
          <w:lang w:eastAsia="en-GB"/>
        </w:rPr>
        <w:t>Nome da Empresa</w:t>
      </w:r>
      <w:r>
        <w:rPr>
          <w:lang w:eastAsia="en-GB"/>
        </w:rPr>
        <w:t>]</w:t>
      </w:r>
      <w:r w:rsidR="00CA1354" w:rsidRPr="005D0E88">
        <w:rPr>
          <w:lang w:eastAsia="en-GB"/>
        </w:rPr>
        <w:t xml:space="preserve"> </w:t>
      </w:r>
      <w:r>
        <w:rPr>
          <w:lang w:eastAsia="en-GB"/>
        </w:rPr>
        <w:t>podem ser</w:t>
      </w:r>
      <w:r w:rsidR="00CA1354" w:rsidRPr="005D0E88">
        <w:rPr>
          <w:lang w:eastAsia="en-GB"/>
        </w:rPr>
        <w:t xml:space="preserve"> afetados</w:t>
      </w:r>
      <w:r>
        <w:rPr>
          <w:lang w:eastAsia="en-GB"/>
        </w:rPr>
        <w:t xml:space="preserve"> por possíveis ataques ou vulnerabilidades, de modo que a organização precisa estar resguardada, criando procedimentos e padrões de proteção destes equipamentos. </w:t>
      </w:r>
    </w:p>
    <w:p w14:paraId="2F14B831" w14:textId="48EAFC61" w:rsidR="001C20D7" w:rsidRDefault="001C20D7" w:rsidP="005D0E88">
      <w:pPr>
        <w:spacing w:line="276" w:lineRule="auto"/>
        <w:jc w:val="both"/>
        <w:rPr>
          <w:lang w:eastAsia="en-GB"/>
        </w:rPr>
      </w:pPr>
    </w:p>
    <w:p w14:paraId="79E0E123" w14:textId="0D9F7254" w:rsidR="001C20D7" w:rsidRPr="005D0E88" w:rsidRDefault="001C20D7" w:rsidP="005D0E88">
      <w:pPr>
        <w:spacing w:line="276" w:lineRule="auto"/>
        <w:jc w:val="both"/>
        <w:rPr>
          <w:lang w:eastAsia="en-GB"/>
        </w:rPr>
      </w:pPr>
      <w:r>
        <w:rPr>
          <w:lang w:eastAsia="en-GB"/>
        </w:rPr>
        <w:t>Sendo assim, o objetivo desta política é relatar os parâmetros legais estabelecidos pela [</w:t>
      </w:r>
      <w:r w:rsidRPr="005D0E88">
        <w:rPr>
          <w:lang w:eastAsia="en-GB"/>
        </w:rPr>
        <w:t>Nome da Empresa</w:t>
      </w:r>
      <w:r>
        <w:rPr>
          <w:lang w:eastAsia="en-GB"/>
        </w:rPr>
        <w:t xml:space="preserve">] para promover a maior segurança da informação em seus roteadores e </w:t>
      </w:r>
      <w:proofErr w:type="spellStart"/>
      <w:r>
        <w:rPr>
          <w:lang w:eastAsia="en-GB"/>
        </w:rPr>
        <w:t>switchs</w:t>
      </w:r>
      <w:proofErr w:type="spellEnd"/>
      <w:r>
        <w:rPr>
          <w:lang w:eastAsia="en-GB"/>
        </w:rPr>
        <w:t xml:space="preserve">. </w:t>
      </w:r>
    </w:p>
    <w:p w14:paraId="773EE5ED" w14:textId="77777777" w:rsidR="00CA1354" w:rsidRPr="005D0E88" w:rsidRDefault="00CA1354" w:rsidP="005D0E88">
      <w:pPr>
        <w:spacing w:line="276" w:lineRule="auto"/>
        <w:jc w:val="both"/>
        <w:rPr>
          <w:lang w:eastAsia="en-GB"/>
        </w:rPr>
      </w:pPr>
    </w:p>
    <w:p w14:paraId="4B57BB9C" w14:textId="77777777" w:rsidR="00275274" w:rsidRPr="005D0E88" w:rsidRDefault="00275274" w:rsidP="005D0E88">
      <w:pPr>
        <w:spacing w:line="276" w:lineRule="auto"/>
        <w:jc w:val="both"/>
      </w:pPr>
    </w:p>
    <w:p w14:paraId="37130907" w14:textId="6A903397" w:rsidR="00CA1354" w:rsidRPr="005D0E88" w:rsidRDefault="00CA1354" w:rsidP="005D0E88">
      <w:pPr>
        <w:pStyle w:val="Ttulo1"/>
        <w:jc w:val="both"/>
      </w:pPr>
      <w:r w:rsidRPr="005D0E88">
        <w:tab/>
      </w:r>
      <w:bookmarkStart w:id="5" w:name="_Toc97732914"/>
      <w:r w:rsidRPr="005D0E88">
        <w:t>Política</w:t>
      </w:r>
      <w:r w:rsidR="001C20D7">
        <w:t xml:space="preserve"> de Segurança de Roteador e Switch</w:t>
      </w:r>
      <w:bookmarkEnd w:id="5"/>
    </w:p>
    <w:p w14:paraId="1D0EDAC8" w14:textId="77777777" w:rsidR="00CA1354" w:rsidRPr="005D0E88" w:rsidRDefault="00CA1354" w:rsidP="005D0E88">
      <w:pPr>
        <w:spacing w:line="276" w:lineRule="auto"/>
        <w:jc w:val="both"/>
      </w:pPr>
    </w:p>
    <w:p w14:paraId="704E1055" w14:textId="77777777" w:rsidR="00CA1354" w:rsidRPr="005D0E88" w:rsidRDefault="00CA1354" w:rsidP="005D0E88">
      <w:pPr>
        <w:spacing w:line="276" w:lineRule="auto"/>
        <w:jc w:val="both"/>
      </w:pPr>
      <w:r w:rsidRPr="005D0E88">
        <w:t>Cada roteador deve atender aos seguintes padrões de configuração:</w:t>
      </w:r>
    </w:p>
    <w:p w14:paraId="7DD56EF5" w14:textId="77777777" w:rsidR="00CA1354" w:rsidRPr="005D0E88" w:rsidRDefault="00CA1354" w:rsidP="005D0E88">
      <w:pPr>
        <w:spacing w:line="276" w:lineRule="auto"/>
        <w:jc w:val="both"/>
      </w:pPr>
    </w:p>
    <w:p w14:paraId="000EA45E" w14:textId="2B04D39E" w:rsidR="00CA1354" w:rsidRPr="005D0E88" w:rsidRDefault="00CA1354" w:rsidP="005D0E88">
      <w:pPr>
        <w:spacing w:line="276" w:lineRule="auto"/>
        <w:jc w:val="both"/>
      </w:pPr>
      <w:r w:rsidRPr="007113E5">
        <w:rPr>
          <w:b/>
          <w:bCs/>
        </w:rPr>
        <w:t>1.</w:t>
      </w:r>
      <w:r w:rsidRPr="005D0E88">
        <w:tab/>
        <w:t xml:space="preserve">Nenhuma conta de usuário local está configurada no roteador. Roteadores e switches devem usar </w:t>
      </w:r>
      <w:r w:rsidR="008D2FF7">
        <w:t>meios de autenticação</w:t>
      </w:r>
      <w:r w:rsidRPr="005D0E88">
        <w:t xml:space="preserve"> para tod</w:t>
      </w:r>
      <w:r w:rsidR="008D2FF7">
        <w:t>os os usuários</w:t>
      </w:r>
      <w:r w:rsidRPr="005D0E88">
        <w:t>.</w:t>
      </w:r>
    </w:p>
    <w:p w14:paraId="00FEE94A" w14:textId="77777777" w:rsidR="00CA1354" w:rsidRPr="005D0E88" w:rsidRDefault="00CA1354" w:rsidP="005D0E88">
      <w:pPr>
        <w:spacing w:line="276" w:lineRule="auto"/>
        <w:jc w:val="both"/>
      </w:pPr>
    </w:p>
    <w:p w14:paraId="2653BD43" w14:textId="735AE48D" w:rsidR="00CA1354" w:rsidRPr="005D0E88" w:rsidRDefault="00CA1354" w:rsidP="005D0E88">
      <w:pPr>
        <w:spacing w:line="276" w:lineRule="auto"/>
        <w:jc w:val="both"/>
      </w:pPr>
      <w:r w:rsidRPr="007113E5">
        <w:rPr>
          <w:b/>
          <w:bCs/>
        </w:rPr>
        <w:t>2.</w:t>
      </w:r>
      <w:r w:rsidRPr="005D0E88">
        <w:tab/>
        <w:t>A senha de ativação no roteador ou switch deve ser mantida em um formato criptografado seguro. O roteador ou switch deve ter a senha de ativação definida para a senha atual do roteador/switch de produção da organização de suporte do dispositivo.</w:t>
      </w:r>
      <w:r w:rsidRPr="005D0E88">
        <w:tab/>
        <w:t>Os seguintes serviços ou recursos devem ser desativados:</w:t>
      </w:r>
    </w:p>
    <w:p w14:paraId="5A185AA9" w14:textId="77777777" w:rsidR="00CA1354" w:rsidRPr="005D0E88" w:rsidRDefault="00CA1354" w:rsidP="005D0E88">
      <w:pPr>
        <w:spacing w:line="276" w:lineRule="auto"/>
        <w:jc w:val="both"/>
      </w:pPr>
    </w:p>
    <w:p w14:paraId="7590853C" w14:textId="1BA5D737" w:rsidR="00CA1354" w:rsidRPr="005D0E88" w:rsidRDefault="00CA1354" w:rsidP="007113E5">
      <w:pPr>
        <w:pStyle w:val="PargrafodaLista"/>
        <w:numPr>
          <w:ilvl w:val="0"/>
          <w:numId w:val="22"/>
        </w:numPr>
        <w:spacing w:line="276" w:lineRule="auto"/>
        <w:ind w:left="1134"/>
        <w:jc w:val="both"/>
      </w:pPr>
      <w:r w:rsidRPr="005D0E88">
        <w:t>Difusões dirigidas por IP</w:t>
      </w:r>
    </w:p>
    <w:p w14:paraId="379CB802" w14:textId="2059668F" w:rsidR="00CA1354" w:rsidRPr="005D0E88" w:rsidRDefault="00CA1354" w:rsidP="007113E5">
      <w:pPr>
        <w:pStyle w:val="PargrafodaLista"/>
        <w:numPr>
          <w:ilvl w:val="0"/>
          <w:numId w:val="22"/>
        </w:numPr>
        <w:spacing w:line="276" w:lineRule="auto"/>
        <w:ind w:left="1134"/>
        <w:jc w:val="both"/>
      </w:pPr>
      <w:r w:rsidRPr="005D0E88">
        <w:t>Pacotes de entrada no roteador/switch originados com endereços inválidos</w:t>
      </w:r>
    </w:p>
    <w:p w14:paraId="124BE64B" w14:textId="3D28D17D" w:rsidR="00CA1354" w:rsidRPr="005D0E88" w:rsidRDefault="00CA1354" w:rsidP="007113E5">
      <w:pPr>
        <w:pStyle w:val="PargrafodaLista"/>
        <w:numPr>
          <w:ilvl w:val="0"/>
          <w:numId w:val="22"/>
        </w:numPr>
        <w:spacing w:line="276" w:lineRule="auto"/>
        <w:ind w:left="1134"/>
        <w:jc w:val="both"/>
      </w:pPr>
      <w:r w:rsidRPr="005D0E88">
        <w:t>Todo o roteamento e comutação de origem</w:t>
      </w:r>
    </w:p>
    <w:p w14:paraId="04CE7C41" w14:textId="602E9F25" w:rsidR="00CA1354" w:rsidRPr="005D0E88" w:rsidRDefault="00CA1354" w:rsidP="007113E5">
      <w:pPr>
        <w:pStyle w:val="PargrafodaLista"/>
        <w:numPr>
          <w:ilvl w:val="0"/>
          <w:numId w:val="22"/>
        </w:numPr>
        <w:spacing w:line="276" w:lineRule="auto"/>
        <w:ind w:left="1134"/>
        <w:jc w:val="both"/>
      </w:pPr>
      <w:r w:rsidRPr="005D0E88">
        <w:t>Todos os serviços web rodando no roteador</w:t>
      </w:r>
    </w:p>
    <w:p w14:paraId="00817527" w14:textId="456E5699" w:rsidR="00CA1354" w:rsidRPr="005D0E88" w:rsidRDefault="00CA1354" w:rsidP="007113E5">
      <w:pPr>
        <w:pStyle w:val="PargrafodaLista"/>
        <w:numPr>
          <w:ilvl w:val="0"/>
          <w:numId w:val="22"/>
        </w:numPr>
        <w:spacing w:line="276" w:lineRule="auto"/>
        <w:ind w:left="1134"/>
        <w:jc w:val="both"/>
      </w:pPr>
      <w:r w:rsidRPr="005D0E88">
        <w:t>Protocolo de descoberta de &lt;Nome da empresa&gt;em interfaces conectadas à Internet</w:t>
      </w:r>
    </w:p>
    <w:p w14:paraId="0177FABD" w14:textId="770A5AFE" w:rsidR="00CA1354" w:rsidRPr="005D0E88" w:rsidRDefault="00CA1354" w:rsidP="007113E5">
      <w:pPr>
        <w:pStyle w:val="PargrafodaLista"/>
        <w:numPr>
          <w:ilvl w:val="0"/>
          <w:numId w:val="22"/>
        </w:numPr>
        <w:spacing w:line="276" w:lineRule="auto"/>
        <w:ind w:left="1134"/>
        <w:jc w:val="both"/>
      </w:pPr>
      <w:r w:rsidRPr="005D0E88">
        <w:t>Serviços Telnet, FTP e HTTP</w:t>
      </w:r>
    </w:p>
    <w:p w14:paraId="72DAE685" w14:textId="4AABED1E" w:rsidR="00CA1354" w:rsidRPr="005D0E88" w:rsidRDefault="00CA1354" w:rsidP="007113E5">
      <w:pPr>
        <w:pStyle w:val="PargrafodaLista"/>
        <w:numPr>
          <w:ilvl w:val="0"/>
          <w:numId w:val="22"/>
        </w:numPr>
        <w:spacing w:line="276" w:lineRule="auto"/>
        <w:ind w:left="1134"/>
        <w:jc w:val="both"/>
      </w:pPr>
      <w:r w:rsidRPr="005D0E88">
        <w:t>Configuração automática</w:t>
      </w:r>
    </w:p>
    <w:p w14:paraId="52CA7B0E" w14:textId="1C7E3C7C" w:rsidR="00CA1354" w:rsidRDefault="005D53DD" w:rsidP="005D0E88">
      <w:pPr>
        <w:spacing w:line="276" w:lineRule="auto"/>
        <w:jc w:val="both"/>
      </w:pPr>
      <w:r w:rsidRPr="007113E5">
        <w:rPr>
          <w:b/>
          <w:bCs/>
        </w:rPr>
        <w:lastRenderedPageBreak/>
        <w:t>3</w:t>
      </w:r>
      <w:r w:rsidR="00CA1354" w:rsidRPr="007113E5">
        <w:rPr>
          <w:b/>
          <w:bCs/>
        </w:rPr>
        <w:t>.</w:t>
      </w:r>
      <w:r w:rsidR="00CA1354" w:rsidRPr="005D0E88">
        <w:tab/>
        <w:t>Os seguintes serviços devem ser desativados, a menos que uma justificativa comercial seja fornecida:</w:t>
      </w:r>
    </w:p>
    <w:p w14:paraId="31E33052" w14:textId="77777777" w:rsidR="005D53DD" w:rsidRPr="005D0E88" w:rsidRDefault="005D53DD" w:rsidP="005D0E88">
      <w:pPr>
        <w:spacing w:line="276" w:lineRule="auto"/>
        <w:jc w:val="both"/>
      </w:pPr>
    </w:p>
    <w:p w14:paraId="3CDFA79F" w14:textId="2C937CEE" w:rsidR="00CA1354" w:rsidRPr="005D0E88" w:rsidRDefault="00CA1354" w:rsidP="007113E5">
      <w:pPr>
        <w:spacing w:line="276" w:lineRule="auto"/>
        <w:ind w:left="1134" w:hanging="425"/>
        <w:jc w:val="both"/>
      </w:pPr>
      <w:r w:rsidRPr="005D0E88">
        <w:t>a.</w:t>
      </w:r>
      <w:r w:rsidRPr="005D0E88">
        <w:tab/>
      </w:r>
      <w:r w:rsidR="007113E5" w:rsidRPr="005D0E88">
        <w:t>Entroncamento dinâmico</w:t>
      </w:r>
    </w:p>
    <w:p w14:paraId="5F1018BC" w14:textId="77777777" w:rsidR="007113E5" w:rsidRDefault="00CA1354" w:rsidP="007113E5">
      <w:pPr>
        <w:spacing w:line="276" w:lineRule="auto"/>
        <w:ind w:left="1134" w:hanging="425"/>
        <w:jc w:val="both"/>
      </w:pPr>
      <w:r w:rsidRPr="005D0E88">
        <w:t>b.</w:t>
      </w:r>
      <w:r w:rsidRPr="005D0E88">
        <w:tab/>
      </w:r>
      <w:r w:rsidR="007113E5" w:rsidRPr="005D0E88">
        <w:t xml:space="preserve">Ambientes de script, como o </w:t>
      </w:r>
      <w:proofErr w:type="spellStart"/>
      <w:r w:rsidR="007113E5" w:rsidRPr="005D0E88">
        <w:t>shell</w:t>
      </w:r>
      <w:proofErr w:type="spellEnd"/>
      <w:r w:rsidR="007113E5" w:rsidRPr="005D0E88">
        <w:t xml:space="preserve"> TCL</w:t>
      </w:r>
    </w:p>
    <w:p w14:paraId="1072BB0B" w14:textId="77777777" w:rsidR="005D53DD" w:rsidRPr="005D0E88" w:rsidRDefault="005D53DD" w:rsidP="005D0E88">
      <w:pPr>
        <w:spacing w:line="276" w:lineRule="auto"/>
        <w:jc w:val="both"/>
      </w:pPr>
    </w:p>
    <w:p w14:paraId="4A0B5CB7" w14:textId="654C0D85" w:rsidR="00CA1354" w:rsidRPr="005D0E88" w:rsidRDefault="005D53DD" w:rsidP="005D0E88">
      <w:pPr>
        <w:spacing w:line="276" w:lineRule="auto"/>
        <w:jc w:val="both"/>
      </w:pPr>
      <w:r w:rsidRPr="007113E5">
        <w:rPr>
          <w:b/>
          <w:bCs/>
        </w:rPr>
        <w:t>4</w:t>
      </w:r>
      <w:r w:rsidR="00CA1354" w:rsidRPr="007113E5">
        <w:rPr>
          <w:b/>
          <w:bCs/>
        </w:rPr>
        <w:t>.</w:t>
      </w:r>
      <w:r w:rsidR="00CA1354" w:rsidRPr="005D0E88">
        <w:tab/>
        <w:t>Os seguintes serviços devem ser configurados:</w:t>
      </w:r>
    </w:p>
    <w:p w14:paraId="4DFB960A" w14:textId="77777777" w:rsidR="00CA1354" w:rsidRPr="005D0E88" w:rsidRDefault="00CA1354" w:rsidP="005D0E88">
      <w:pPr>
        <w:spacing w:line="276" w:lineRule="auto"/>
        <w:jc w:val="both"/>
      </w:pPr>
    </w:p>
    <w:p w14:paraId="30F0AC1A" w14:textId="77777777" w:rsidR="00CA1354" w:rsidRPr="005D0E88" w:rsidRDefault="00CA1354" w:rsidP="007113E5">
      <w:pPr>
        <w:spacing w:line="276" w:lineRule="auto"/>
        <w:ind w:left="1134" w:hanging="425"/>
        <w:jc w:val="both"/>
      </w:pPr>
      <w:r w:rsidRPr="005D0E88">
        <w:t>a.</w:t>
      </w:r>
      <w:r w:rsidRPr="005D0E88">
        <w:tab/>
        <w:t>Criptografia de senha</w:t>
      </w:r>
    </w:p>
    <w:p w14:paraId="1C073033" w14:textId="059DD0E0" w:rsidR="00CA1354" w:rsidRDefault="00CA1354" w:rsidP="007113E5">
      <w:pPr>
        <w:spacing w:line="276" w:lineRule="auto"/>
        <w:ind w:left="1134" w:hanging="425"/>
        <w:jc w:val="both"/>
      </w:pPr>
      <w:r w:rsidRPr="005D0E88">
        <w:t>b.</w:t>
      </w:r>
      <w:r w:rsidRPr="005D0E88">
        <w:tab/>
        <w:t>NTP configurado para uma fonte padrão corporativa</w:t>
      </w:r>
    </w:p>
    <w:p w14:paraId="1262C3B2" w14:textId="77777777" w:rsidR="005D53DD" w:rsidRPr="005D0E88" w:rsidRDefault="005D53DD" w:rsidP="005D0E88">
      <w:pPr>
        <w:spacing w:line="276" w:lineRule="auto"/>
        <w:jc w:val="both"/>
      </w:pPr>
    </w:p>
    <w:p w14:paraId="5AD0C455" w14:textId="5C5D62A2" w:rsidR="00CA1354" w:rsidRPr="005D0E88" w:rsidRDefault="005D53DD" w:rsidP="005D0E88">
      <w:pPr>
        <w:spacing w:line="276" w:lineRule="auto"/>
        <w:jc w:val="both"/>
      </w:pPr>
      <w:r w:rsidRPr="007113E5">
        <w:rPr>
          <w:b/>
          <w:bCs/>
        </w:rPr>
        <w:t>5</w:t>
      </w:r>
      <w:r w:rsidR="00CA1354" w:rsidRPr="007113E5">
        <w:rPr>
          <w:b/>
          <w:bCs/>
        </w:rPr>
        <w:t>.</w:t>
      </w:r>
      <w:r w:rsidR="00CA1354" w:rsidRPr="005D0E88">
        <w:tab/>
        <w:t>Todas as atualizações de roteamento devem ser feitas usando atualizações de roteamento seguras.</w:t>
      </w:r>
    </w:p>
    <w:p w14:paraId="74955A52" w14:textId="77777777" w:rsidR="00CA1354" w:rsidRPr="005D0E88" w:rsidRDefault="00CA1354" w:rsidP="005D0E88">
      <w:pPr>
        <w:spacing w:line="276" w:lineRule="auto"/>
        <w:jc w:val="both"/>
      </w:pPr>
    </w:p>
    <w:p w14:paraId="76421913" w14:textId="77777777" w:rsidR="007113E5" w:rsidRPr="005D0E88" w:rsidRDefault="005D53DD" w:rsidP="007113E5">
      <w:pPr>
        <w:spacing w:line="276" w:lineRule="auto"/>
        <w:jc w:val="both"/>
      </w:pPr>
      <w:r w:rsidRPr="007113E5">
        <w:rPr>
          <w:b/>
          <w:bCs/>
        </w:rPr>
        <w:t>6</w:t>
      </w:r>
      <w:r w:rsidR="00CA1354" w:rsidRPr="007113E5">
        <w:rPr>
          <w:b/>
          <w:bCs/>
        </w:rPr>
        <w:t>.</w:t>
      </w:r>
      <w:r w:rsidR="00CA1354" w:rsidRPr="005D0E88">
        <w:tab/>
      </w:r>
      <w:r w:rsidR="007113E5" w:rsidRPr="005D0E88">
        <w:t>As listas de controle de acesso devem ser usadas para limitar a origem e o tipo de tráfego que pode terminar no próprio dispositivo.</w:t>
      </w:r>
    </w:p>
    <w:p w14:paraId="27A328F3" w14:textId="60C8DF1E" w:rsidR="00CA1354" w:rsidRPr="005D0E88" w:rsidRDefault="00CA1354" w:rsidP="005D0E88">
      <w:pPr>
        <w:spacing w:line="276" w:lineRule="auto"/>
        <w:jc w:val="both"/>
      </w:pPr>
    </w:p>
    <w:p w14:paraId="69AF0E04" w14:textId="033BB229" w:rsidR="00CA1354" w:rsidRPr="005D0E88" w:rsidRDefault="005D53DD" w:rsidP="005D0E88">
      <w:pPr>
        <w:spacing w:line="276" w:lineRule="auto"/>
        <w:jc w:val="both"/>
      </w:pPr>
      <w:r w:rsidRPr="007113E5">
        <w:rPr>
          <w:b/>
          <w:bCs/>
        </w:rPr>
        <w:t>7</w:t>
      </w:r>
      <w:r w:rsidR="00CA1354" w:rsidRPr="007113E5">
        <w:rPr>
          <w:b/>
          <w:bCs/>
        </w:rPr>
        <w:t>.</w:t>
      </w:r>
      <w:r w:rsidR="00CA1354" w:rsidRPr="005D0E88">
        <w:tab/>
      </w:r>
      <w:r w:rsidR="007113E5" w:rsidRPr="005D0E88">
        <w:t>As listas de controle de acesso para o trânsito do dispositivo devem ser adicionadas conforme as necessidades de negócios surgirem</w:t>
      </w:r>
      <w:r w:rsidR="007113E5">
        <w:t>.</w:t>
      </w:r>
    </w:p>
    <w:p w14:paraId="354D281E" w14:textId="77777777" w:rsidR="00CA1354" w:rsidRPr="005D0E88" w:rsidRDefault="00CA1354" w:rsidP="005D0E88">
      <w:pPr>
        <w:spacing w:line="276" w:lineRule="auto"/>
        <w:jc w:val="both"/>
      </w:pPr>
    </w:p>
    <w:p w14:paraId="7BB991AE" w14:textId="6CEC3FF9" w:rsidR="00CA1354" w:rsidRPr="005D0E88" w:rsidRDefault="005D53DD" w:rsidP="005D0E88">
      <w:pPr>
        <w:spacing w:line="276" w:lineRule="auto"/>
        <w:jc w:val="both"/>
      </w:pPr>
      <w:r w:rsidRPr="007113E5">
        <w:rPr>
          <w:b/>
          <w:bCs/>
        </w:rPr>
        <w:t>8</w:t>
      </w:r>
      <w:r w:rsidR="00CA1354" w:rsidRPr="007113E5">
        <w:rPr>
          <w:b/>
          <w:bCs/>
        </w:rPr>
        <w:t>.</w:t>
      </w:r>
      <w:r w:rsidR="00CA1354" w:rsidRPr="005D0E88">
        <w:tab/>
      </w:r>
      <w:r w:rsidR="007113E5" w:rsidRPr="005D0E88">
        <w:t>O roteador deve ser incluído no sistema de gerenciamento corporativo, corporativo com um ponto de contato designado.</w:t>
      </w:r>
    </w:p>
    <w:p w14:paraId="2AE1ED00" w14:textId="77777777" w:rsidR="00CA1354" w:rsidRPr="005D0E88" w:rsidRDefault="00CA1354" w:rsidP="005D0E88">
      <w:pPr>
        <w:spacing w:line="276" w:lineRule="auto"/>
        <w:jc w:val="both"/>
      </w:pPr>
    </w:p>
    <w:p w14:paraId="19A10BAB" w14:textId="6F030FE1" w:rsidR="00CA1354" w:rsidRPr="005D0E88" w:rsidRDefault="005D53DD" w:rsidP="005D0E88">
      <w:pPr>
        <w:spacing w:line="276" w:lineRule="auto"/>
        <w:jc w:val="both"/>
      </w:pPr>
      <w:r w:rsidRPr="007113E5">
        <w:rPr>
          <w:b/>
          <w:bCs/>
        </w:rPr>
        <w:t>9</w:t>
      </w:r>
      <w:r w:rsidR="00CA1354" w:rsidRPr="007113E5">
        <w:rPr>
          <w:b/>
          <w:bCs/>
        </w:rPr>
        <w:t>.</w:t>
      </w:r>
      <w:r w:rsidR="00CA1354" w:rsidRPr="005D0E88">
        <w:tab/>
      </w:r>
      <w:r w:rsidR="007113E5" w:rsidRPr="005D0E88">
        <w:t>Cada roteador deve ter a seguinte instrução apresentada para todas as formas de login, sejam elas remotas ou locais:</w:t>
      </w:r>
      <w:r w:rsidR="00CA1354" w:rsidRPr="005D0E88">
        <w:tab/>
      </w:r>
    </w:p>
    <w:p w14:paraId="52495884" w14:textId="77777777" w:rsidR="00CA1354" w:rsidRPr="005D0E88" w:rsidRDefault="00CA1354" w:rsidP="005D0E88">
      <w:pPr>
        <w:spacing w:line="276" w:lineRule="auto"/>
        <w:jc w:val="both"/>
      </w:pPr>
    </w:p>
    <w:p w14:paraId="52F65597" w14:textId="18B42953" w:rsidR="007113E5" w:rsidRDefault="00CA1354" w:rsidP="005D0E88">
      <w:pPr>
        <w:spacing w:line="276" w:lineRule="auto"/>
        <w:jc w:val="both"/>
      </w:pPr>
      <w:r w:rsidRPr="005D0E88">
        <w:t>"</w:t>
      </w:r>
      <w:r w:rsidRPr="005D0E88">
        <w:rPr>
          <w:b/>
        </w:rPr>
        <w:t>O ACESSO NÃO AUTORIZADO A ESTE DISPOSITIVO DE REDE É PROIBIDO.</w:t>
      </w:r>
      <w:r w:rsidRPr="005D0E88">
        <w:t xml:space="preserve"> </w:t>
      </w:r>
    </w:p>
    <w:p w14:paraId="5D04B582" w14:textId="52A21A9C" w:rsidR="00523145" w:rsidRDefault="00CA1354" w:rsidP="005D0E88">
      <w:pPr>
        <w:spacing w:line="276" w:lineRule="auto"/>
        <w:jc w:val="both"/>
      </w:pPr>
      <w:r w:rsidRPr="005D0E88">
        <w:t xml:space="preserve">Você deve ter permissão explícita para acessar ou configurar este dispositivo. </w:t>
      </w:r>
    </w:p>
    <w:p w14:paraId="4E8E760B" w14:textId="77777777" w:rsidR="00523145" w:rsidRDefault="00CA1354" w:rsidP="005D0E88">
      <w:pPr>
        <w:spacing w:line="276" w:lineRule="auto"/>
        <w:jc w:val="both"/>
      </w:pPr>
      <w:r w:rsidRPr="005D0E88">
        <w:t xml:space="preserve">Todas as atividades realizadas neste dispositivo podem ser registradas e as violações desta política podem resultar em ação disciplinar e podem ser denunciadas às autoridades policiais. Não há direito à privacidade neste dispositivo. </w:t>
      </w:r>
    </w:p>
    <w:p w14:paraId="62D59F09" w14:textId="2FE3BB20" w:rsidR="00CA1354" w:rsidRPr="005D0E88" w:rsidRDefault="00CA1354" w:rsidP="005D0E88">
      <w:pPr>
        <w:spacing w:line="276" w:lineRule="auto"/>
        <w:jc w:val="both"/>
      </w:pPr>
      <w:r w:rsidRPr="005D0E88">
        <w:t>O uso deste sistema constituirá consentimento para monitoramento."</w:t>
      </w:r>
    </w:p>
    <w:p w14:paraId="3843095E" w14:textId="77777777" w:rsidR="00CA1354" w:rsidRPr="005D0E88" w:rsidRDefault="00CA1354" w:rsidP="005D0E88">
      <w:pPr>
        <w:spacing w:line="276" w:lineRule="auto"/>
        <w:jc w:val="both"/>
      </w:pPr>
    </w:p>
    <w:p w14:paraId="7ECB209A" w14:textId="07430BED" w:rsidR="00CA1354" w:rsidRPr="005D0E88" w:rsidRDefault="00CA1354" w:rsidP="005D0E88">
      <w:pPr>
        <w:spacing w:line="276" w:lineRule="auto"/>
        <w:jc w:val="both"/>
      </w:pPr>
      <w:r w:rsidRPr="007113E5">
        <w:rPr>
          <w:b/>
          <w:bCs/>
        </w:rPr>
        <w:t>1</w:t>
      </w:r>
      <w:r w:rsidR="007113E5" w:rsidRPr="007113E5">
        <w:rPr>
          <w:b/>
          <w:bCs/>
        </w:rPr>
        <w:t>0</w:t>
      </w:r>
      <w:r w:rsidRPr="007113E5">
        <w:rPr>
          <w:b/>
          <w:bCs/>
        </w:rPr>
        <w:t>.</w:t>
      </w:r>
      <w:r w:rsidRPr="005D0E88">
        <w:tab/>
        <w:t>O Telnet nunca pode ser usado em qualquer rede para gerenciar um roteador, a menos que haja um túnel seguro protegendo todo o caminho de comunicação. O SSH versão 2 é o protocolo de gerenciamento preferencial.</w:t>
      </w:r>
    </w:p>
    <w:p w14:paraId="7ABF79BD" w14:textId="77777777" w:rsidR="00CA1354" w:rsidRPr="005D0E88" w:rsidRDefault="00CA1354" w:rsidP="005D0E88">
      <w:pPr>
        <w:spacing w:line="276" w:lineRule="auto"/>
        <w:jc w:val="both"/>
      </w:pPr>
    </w:p>
    <w:p w14:paraId="38726E69" w14:textId="4FDA2CCF" w:rsidR="00CA1354" w:rsidRPr="005D0E88" w:rsidRDefault="00CA1354" w:rsidP="005D0E88">
      <w:pPr>
        <w:spacing w:line="276" w:lineRule="auto"/>
        <w:jc w:val="both"/>
      </w:pPr>
      <w:r w:rsidRPr="00523145">
        <w:rPr>
          <w:b/>
          <w:bCs/>
        </w:rPr>
        <w:lastRenderedPageBreak/>
        <w:t>1</w:t>
      </w:r>
      <w:r w:rsidR="00523145" w:rsidRPr="00523145">
        <w:rPr>
          <w:b/>
          <w:bCs/>
        </w:rPr>
        <w:t>1</w:t>
      </w:r>
      <w:r w:rsidRPr="00523145">
        <w:rPr>
          <w:b/>
          <w:bCs/>
        </w:rPr>
        <w:t>.</w:t>
      </w:r>
      <w:r w:rsidRPr="005D0E88">
        <w:tab/>
        <w:t>O padrão de configuração do roteador corporativo definirá a categoria de dispositivos sensíveis de roteamento e comutação e exigirá serviços ou configuração adicionais em dispositivos sensíveis, incluindo:</w:t>
      </w:r>
    </w:p>
    <w:p w14:paraId="1F55579E" w14:textId="77777777" w:rsidR="00CA1354" w:rsidRPr="005D0E88" w:rsidRDefault="00CA1354" w:rsidP="005D0E88">
      <w:pPr>
        <w:spacing w:line="276" w:lineRule="auto"/>
        <w:jc w:val="both"/>
      </w:pPr>
    </w:p>
    <w:p w14:paraId="19027522" w14:textId="77777777" w:rsidR="00CA1354" w:rsidRPr="005D0E88" w:rsidRDefault="00CA1354" w:rsidP="00523145">
      <w:pPr>
        <w:spacing w:line="276" w:lineRule="auto"/>
        <w:ind w:left="1134" w:hanging="425"/>
        <w:jc w:val="both"/>
      </w:pPr>
      <w:r w:rsidRPr="005D0E88">
        <w:t>a.</w:t>
      </w:r>
      <w:r w:rsidRPr="005D0E88">
        <w:tab/>
        <w:t>Contabilidade da lista de acesso IP</w:t>
      </w:r>
    </w:p>
    <w:p w14:paraId="0E545BAB" w14:textId="77777777" w:rsidR="00CA1354" w:rsidRPr="005D0E88" w:rsidRDefault="00CA1354" w:rsidP="00523145">
      <w:pPr>
        <w:spacing w:line="276" w:lineRule="auto"/>
        <w:ind w:left="1134" w:hanging="425"/>
        <w:jc w:val="both"/>
      </w:pPr>
      <w:r w:rsidRPr="005D0E88">
        <w:t>b.</w:t>
      </w:r>
      <w:r w:rsidRPr="005D0E88">
        <w:tab/>
        <w:t>Registro do dispositivo</w:t>
      </w:r>
    </w:p>
    <w:p w14:paraId="554D5914" w14:textId="24529AD9" w:rsidR="00CA1354" w:rsidRPr="005D0E88" w:rsidRDefault="00CA1354" w:rsidP="00523145">
      <w:pPr>
        <w:spacing w:line="276" w:lineRule="auto"/>
        <w:ind w:left="1134" w:hanging="425"/>
        <w:jc w:val="both"/>
      </w:pPr>
      <w:r w:rsidRPr="005D0E88">
        <w:t>c.</w:t>
      </w:r>
      <w:r w:rsidRPr="005D0E88">
        <w:tab/>
        <w:t>Os pacotes de entrada no roteador originados com endereços inválidos</w:t>
      </w:r>
    </w:p>
    <w:p w14:paraId="135F49AE" w14:textId="77777777" w:rsidR="00CA1354" w:rsidRPr="005D0E88" w:rsidRDefault="00CA1354" w:rsidP="00523145">
      <w:pPr>
        <w:spacing w:line="276" w:lineRule="auto"/>
        <w:ind w:left="1134" w:hanging="425"/>
        <w:jc w:val="both"/>
      </w:pPr>
      <w:r w:rsidRPr="005D0E88">
        <w:t>d.</w:t>
      </w:r>
      <w:r w:rsidRPr="005D0E88">
        <w:tab/>
        <w:t>O acesso ao console do roteador e ao modem deve ser restrito por controles de segurança adicionais</w:t>
      </w:r>
    </w:p>
    <w:p w14:paraId="499A63E3" w14:textId="77777777" w:rsidR="00CA1354" w:rsidRPr="005D0E88" w:rsidRDefault="00CA1354" w:rsidP="005D0E88">
      <w:pPr>
        <w:spacing w:line="276" w:lineRule="auto"/>
        <w:jc w:val="both"/>
      </w:pPr>
    </w:p>
    <w:p w14:paraId="41ECDAF1" w14:textId="7D42BCFB" w:rsidR="00A240A0" w:rsidRPr="005D0E88" w:rsidRDefault="00A240A0" w:rsidP="005D0E88">
      <w:pPr>
        <w:spacing w:line="276" w:lineRule="auto"/>
        <w:jc w:val="both"/>
      </w:pPr>
    </w:p>
    <w:sectPr w:rsidR="00A240A0" w:rsidRPr="005D0E88"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B857" w14:textId="77777777" w:rsidR="00DC7B3E" w:rsidRDefault="00DC7B3E">
      <w:r>
        <w:separator/>
      </w:r>
    </w:p>
  </w:endnote>
  <w:endnote w:type="continuationSeparator" w:id="0">
    <w:p w14:paraId="7E14D827" w14:textId="77777777" w:rsidR="00DC7B3E" w:rsidRDefault="00DC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B4B0" w14:textId="77777777" w:rsidR="00DC7B3E" w:rsidRDefault="00DC7B3E">
      <w:r>
        <w:separator/>
      </w:r>
    </w:p>
  </w:footnote>
  <w:footnote w:type="continuationSeparator" w:id="0">
    <w:p w14:paraId="44490E72" w14:textId="77777777" w:rsidR="00DC7B3E" w:rsidRDefault="00DC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AAEF" w14:textId="40C5326C" w:rsidR="001C20D7" w:rsidRPr="001C20D7" w:rsidRDefault="005D0E88" w:rsidP="001C20D7">
    <w:pPr>
      <w:pStyle w:val="AA1"/>
    </w:pPr>
    <w:r w:rsidRPr="00E442B3">
      <w:t xml:space="preserve"> </w:t>
    </w:r>
    <w:r w:rsidR="001C20D7" w:rsidRPr="001C20D7">
      <w:t>Política de Segurança de Roteador e Switch</w:t>
    </w:r>
  </w:p>
  <w:p w14:paraId="68D6163B" w14:textId="54996A5F" w:rsidR="00563875" w:rsidRPr="000D25C9" w:rsidRDefault="00DC7B3E" w:rsidP="001C20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2418"/>
        </w:tabs>
        <w:ind w:left="2418"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865677"/>
    <w:multiLevelType w:val="hybridMultilevel"/>
    <w:tmpl w:val="9CD03C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FC0C12"/>
    <w:multiLevelType w:val="hybridMultilevel"/>
    <w:tmpl w:val="660070E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D24FA2"/>
    <w:multiLevelType w:val="hybridMultilevel"/>
    <w:tmpl w:val="B752659E"/>
    <w:lvl w:ilvl="0" w:tplc="09427D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A576CD"/>
    <w:multiLevelType w:val="hybridMultilevel"/>
    <w:tmpl w:val="C1B019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93876C8"/>
    <w:multiLevelType w:val="hybridMultilevel"/>
    <w:tmpl w:val="8D6A830A"/>
    <w:lvl w:ilvl="0" w:tplc="75C2098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3C7B28"/>
    <w:multiLevelType w:val="hybridMultilevel"/>
    <w:tmpl w:val="FBA0D9B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B071978"/>
    <w:multiLevelType w:val="hybridMultilevel"/>
    <w:tmpl w:val="E1D2C7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1"/>
  </w:num>
  <w:num w:numId="5">
    <w:abstractNumId w:val="3"/>
  </w:num>
  <w:num w:numId="6">
    <w:abstractNumId w:val="14"/>
  </w:num>
  <w:num w:numId="7">
    <w:abstractNumId w:val="17"/>
  </w:num>
  <w:num w:numId="8">
    <w:abstractNumId w:val="13"/>
  </w:num>
  <w:num w:numId="9">
    <w:abstractNumId w:val="12"/>
  </w:num>
  <w:num w:numId="10">
    <w:abstractNumId w:val="0"/>
  </w:num>
  <w:num w:numId="11">
    <w:abstractNumId w:val="11"/>
  </w:num>
  <w:num w:numId="12">
    <w:abstractNumId w:val="8"/>
  </w:num>
  <w:num w:numId="13">
    <w:abstractNumId w:val="2"/>
    <w:lvlOverride w:ilvl="0">
      <w:startOverride w:val="1"/>
    </w:lvlOverride>
  </w:num>
  <w:num w:numId="14">
    <w:abstractNumId w:val="7"/>
  </w:num>
  <w:num w:numId="15">
    <w:abstractNumId w:val="15"/>
  </w:num>
  <w:num w:numId="16">
    <w:abstractNumId w:val="2"/>
    <w:lvlOverride w:ilvl="0">
      <w:startOverride w:val="1"/>
    </w:lvlOverride>
  </w:num>
  <w:num w:numId="17">
    <w:abstractNumId w:val="18"/>
  </w:num>
  <w:num w:numId="18">
    <w:abstractNumId w:val="9"/>
  </w:num>
  <w:num w:numId="19">
    <w:abstractNumId w:val="16"/>
  </w:num>
  <w:num w:numId="20">
    <w:abstractNumId w:val="4"/>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15CA0"/>
    <w:rsid w:val="00134E38"/>
    <w:rsid w:val="00147832"/>
    <w:rsid w:val="0015048F"/>
    <w:rsid w:val="00160B3B"/>
    <w:rsid w:val="0018356F"/>
    <w:rsid w:val="001A070A"/>
    <w:rsid w:val="001A449B"/>
    <w:rsid w:val="001B1D39"/>
    <w:rsid w:val="001C20D7"/>
    <w:rsid w:val="001E1A2F"/>
    <w:rsid w:val="001E2EA3"/>
    <w:rsid w:val="0026247B"/>
    <w:rsid w:val="00275274"/>
    <w:rsid w:val="002A70B6"/>
    <w:rsid w:val="002C0685"/>
    <w:rsid w:val="002C3ABC"/>
    <w:rsid w:val="002E61A0"/>
    <w:rsid w:val="00343896"/>
    <w:rsid w:val="003501F0"/>
    <w:rsid w:val="00352242"/>
    <w:rsid w:val="003C3772"/>
    <w:rsid w:val="003C4995"/>
    <w:rsid w:val="004062AC"/>
    <w:rsid w:val="00436B70"/>
    <w:rsid w:val="004879FA"/>
    <w:rsid w:val="004A6AFF"/>
    <w:rsid w:val="00523145"/>
    <w:rsid w:val="00527275"/>
    <w:rsid w:val="00542AB1"/>
    <w:rsid w:val="00550B3D"/>
    <w:rsid w:val="00562090"/>
    <w:rsid w:val="0056639F"/>
    <w:rsid w:val="00571CCB"/>
    <w:rsid w:val="005C1699"/>
    <w:rsid w:val="005C418C"/>
    <w:rsid w:val="005D0E88"/>
    <w:rsid w:val="005D53DD"/>
    <w:rsid w:val="0060355A"/>
    <w:rsid w:val="00610B97"/>
    <w:rsid w:val="0061388C"/>
    <w:rsid w:val="0064161E"/>
    <w:rsid w:val="00664A37"/>
    <w:rsid w:val="00686407"/>
    <w:rsid w:val="0069730B"/>
    <w:rsid w:val="006A100D"/>
    <w:rsid w:val="006E274E"/>
    <w:rsid w:val="007113E5"/>
    <w:rsid w:val="007357BE"/>
    <w:rsid w:val="00780F98"/>
    <w:rsid w:val="007B51D9"/>
    <w:rsid w:val="007D6E92"/>
    <w:rsid w:val="007F0CAB"/>
    <w:rsid w:val="007F724E"/>
    <w:rsid w:val="00865B91"/>
    <w:rsid w:val="008958B6"/>
    <w:rsid w:val="008B7CB5"/>
    <w:rsid w:val="008C3BAE"/>
    <w:rsid w:val="008C69BE"/>
    <w:rsid w:val="008D2FF7"/>
    <w:rsid w:val="008F2A42"/>
    <w:rsid w:val="008F6BBD"/>
    <w:rsid w:val="00940BD6"/>
    <w:rsid w:val="00951615"/>
    <w:rsid w:val="00952E3E"/>
    <w:rsid w:val="00961854"/>
    <w:rsid w:val="009A41B2"/>
    <w:rsid w:val="009C45B5"/>
    <w:rsid w:val="009C6FDD"/>
    <w:rsid w:val="00A240A0"/>
    <w:rsid w:val="00A5367C"/>
    <w:rsid w:val="00AF4A59"/>
    <w:rsid w:val="00B002EC"/>
    <w:rsid w:val="00B20ADD"/>
    <w:rsid w:val="00B53D6E"/>
    <w:rsid w:val="00BA1357"/>
    <w:rsid w:val="00BB1D1B"/>
    <w:rsid w:val="00BB3109"/>
    <w:rsid w:val="00BC7307"/>
    <w:rsid w:val="00BD157A"/>
    <w:rsid w:val="00BD46B7"/>
    <w:rsid w:val="00BF73B3"/>
    <w:rsid w:val="00C04DA1"/>
    <w:rsid w:val="00C30AB4"/>
    <w:rsid w:val="00C33767"/>
    <w:rsid w:val="00C520EF"/>
    <w:rsid w:val="00C5529D"/>
    <w:rsid w:val="00C556A7"/>
    <w:rsid w:val="00C7397D"/>
    <w:rsid w:val="00C92BC0"/>
    <w:rsid w:val="00CA1354"/>
    <w:rsid w:val="00CB4E81"/>
    <w:rsid w:val="00CF6934"/>
    <w:rsid w:val="00D304A8"/>
    <w:rsid w:val="00D46B9C"/>
    <w:rsid w:val="00DC7B3E"/>
    <w:rsid w:val="00E1606C"/>
    <w:rsid w:val="00E51618"/>
    <w:rsid w:val="00EE2EED"/>
    <w:rsid w:val="00EE5C69"/>
    <w:rsid w:val="00EF5B72"/>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2418"/>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9F4A-10BA-44A9-9AE2-4906F999E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655</Words>
  <Characters>3538</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2022-02-25T17:34:00Z</dcterms:created>
  <dcterms:modified xsi:type="dcterms:W3CDTF">2022-03-09T19:21:00Z</dcterms:modified>
</cp:coreProperties>
</file>